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72931" cy="108639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72930" cy="108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0.47pt;height:85.5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64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15"/>
        <w:ind w:left="75" w:right="75" w:firstLine="0"/>
        <w:jc w:val="center"/>
        <w:spacing w:before="75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b/>
          <w:color w:val="ff8c04"/>
          <w:sz w:val="27"/>
        </w:rPr>
        <w:t xml:space="preserve">Выгодная «кадастровая помощь»</w:t>
      </w:r>
      <w:r/>
    </w:p>
    <w:p>
      <w:pPr>
        <w:ind w:left="45" w:right="45" w:firstLine="0"/>
        <w:jc w:val="both"/>
        <w:spacing w:before="0" w:after="1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5f5f5f"/>
          <w:sz w:val="21"/>
        </w:rPr>
        <w:t xml:space="preserve"> </w:t>
      </w:r>
      <w:r/>
    </w:p>
    <w:p>
      <w:pPr>
        <w:ind w:left="45" w:right="45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Уже до подлинно всем известно, что на  территории р.п.Тальменка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Тальменского района Алтайского края в 2025 году проводятся комплексные кадастровые работы. Но вопросы по прежнему  остаются.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Давайте еще раз коротко остановимся на основных пунктах.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45" w:right="45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Главные задачи таких работ: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8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наполнение государственного кадастра недвижимости (ГКН) точными сведениями о местоположении границ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9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земельных участков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9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зданий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9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сооружений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9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объектов незавершенного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 вовлечение свободных земель в гражданский оборот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45" w:right="45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Комплексные кадастровые работы проводятся за счёт средств федерального бюджета.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1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никаких финансовых вложений собственников в данном случае не потребуется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1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 обычных кадастровых работ ККР проводятся в отношении не одного ЗУ, а одновременно в отношении всех участков, расположенных на территории одного или нескольких кадастровых кварталов: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1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результате выполнения ККР разрабатывается единая карта-план территории: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709" w:right="0" w:firstLine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ней отображаются уточненные сведения об объектах недвижимости, расположенных в пределах конкретной территории,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709" w:right="0" w:firstLine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основании утвержденной карты-плана территории сведения вносятся в ЕГРН.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45" w:right="45" w:firstLine="0"/>
        <w:jc w:val="both"/>
        <w:spacing w:before="0" w:after="150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целях обеспечения возможности выполнения ККР: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2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правообладателям объектов недвижимости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3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запрещено препятствовать выполнению этих работ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3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вменяется в обязанность обеспечить доступ исполнителю ККР к объектам недвижимости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 за исполнителем ККР закреплена обязанность указать на местности местоположение границ земельных участков в соответствии с подготовленным проектом карты-плана территории: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5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требованию правообладателя объекта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1"/>
        <w:numPr>
          <w:ilvl w:val="0"/>
          <w:numId w:val="15"/>
        </w:numPr>
        <w:ind w:right="0"/>
        <w:jc w:val="both"/>
        <w:spacing w:before="75" w:after="75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без взимания платы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45" w:right="45" w:firstLine="0"/>
        <w:jc w:val="both"/>
        <w:spacing w:before="0" w:after="15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После внесения в ЕГРН сведений о недвижимости, полученных в результате проведения ККР у правообладателей недвижимого имущества отпадает необходимость проводить кадастровые работы за свой счёт.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государственный регистратор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.Н.Полищук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2"/>
        <w:ind w:firstLine="709"/>
        <w:jc w:val="both"/>
        <w:spacing w:after="12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headerReference w:type="even" r:id="rId9"/>
      <w:footnotePr/>
      <w:endnotePr/>
      <w:type w:val="nextPage"/>
      <w:pgSz w:w="11906" w:h="16838" w:orient="portrait"/>
      <w:pgMar w:top="851" w:right="707" w:bottom="709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  <w:rPr>
        <w:rStyle w:val="656"/>
      </w:rPr>
      <w:framePr w:wrap="around" w:vAnchor="text" w:hAnchor="margin" w:xAlign="center" w:y="1"/>
    </w:pPr>
    <w:r>
      <w:rPr>
        <w:rStyle w:val="656"/>
      </w:rPr>
      <w:fldChar w:fldCharType="begin"/>
    </w:r>
    <w:r>
      <w:rPr>
        <w:rStyle w:val="656"/>
      </w:rPr>
      <w:instrText xml:space="preserve">PAGE  </w:instrText>
    </w:r>
    <w:r>
      <w:rPr>
        <w:rStyle w:val="656"/>
      </w:rPr>
      <w:fldChar w:fldCharType="end"/>
    </w:r>
    <w:r>
      <w:rPr>
        <w:rStyle w:val="656"/>
      </w:rPr>
    </w:r>
    <w:r>
      <w:rPr>
        <w:rStyle w:val="656"/>
      </w:rPr>
    </w:r>
  </w:p>
  <w:p>
    <w:pPr>
      <w:pStyle w:val="6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ahoma" w:hAnsi="Tahoma" w:eastAsia="Tahoma" w:cs="Tahoma"/>
        <w:color w:val="5f5f5f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ahoma" w:hAnsi="Tahoma" w:eastAsia="Tahoma" w:cs="Tahoma"/>
        <w:color w:val="5f5f5f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ahoma" w:hAnsi="Tahoma" w:eastAsia="Tahoma" w:cs="Tahoma"/>
        <w:color w:val="5f5f5f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next w:val="647"/>
    <w:link w:val="647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48">
    <w:name w:val="Заголовок 1"/>
    <w:basedOn w:val="647"/>
    <w:next w:val="648"/>
    <w:link w:val="66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en-US"/>
    </w:rPr>
  </w:style>
  <w:style w:type="character" w:styleId="649">
    <w:name w:val="Основной шрифт абзаца"/>
    <w:next w:val="649"/>
    <w:link w:val="647"/>
    <w:uiPriority w:val="1"/>
    <w:semiHidden/>
    <w:unhideWhenUsed/>
  </w:style>
  <w:style w:type="table" w:styleId="650">
    <w:name w:val="Обычная таблица"/>
    <w:next w:val="650"/>
    <w:link w:val="647"/>
    <w:uiPriority w:val="99"/>
    <w:semiHidden/>
    <w:unhideWhenUsed/>
    <w:qFormat/>
    <w:tblPr/>
  </w:style>
  <w:style w:type="numbering" w:styleId="651">
    <w:name w:val="Нет списка"/>
    <w:next w:val="651"/>
    <w:link w:val="647"/>
    <w:uiPriority w:val="99"/>
    <w:semiHidden/>
    <w:unhideWhenUsed/>
  </w:style>
  <w:style w:type="paragraph" w:styleId="652">
    <w:name w:val="Нижний колонтитул"/>
    <w:basedOn w:val="647"/>
    <w:next w:val="652"/>
    <w:link w:val="65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/>
      <w:sz w:val="24"/>
      <w:szCs w:val="24"/>
      <w:lang w:val="en-US" w:eastAsia="en-US"/>
    </w:rPr>
  </w:style>
  <w:style w:type="character" w:styleId="653">
    <w:name w:val="Нижний колонтитул Знак"/>
    <w:next w:val="653"/>
    <w:link w:val="652"/>
    <w:uiPriority w:val="99"/>
    <w:rPr>
      <w:rFonts w:ascii="Times New Roman" w:hAnsi="Times New Roman" w:eastAsia="Calibri" w:cs="Times New Roman"/>
      <w:sz w:val="24"/>
      <w:szCs w:val="24"/>
    </w:rPr>
  </w:style>
  <w:style w:type="paragraph" w:styleId="654">
    <w:name w:val="Верхний колонтитул"/>
    <w:basedOn w:val="647"/>
    <w:next w:val="654"/>
    <w:link w:val="65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/>
      <w:sz w:val="24"/>
      <w:szCs w:val="24"/>
      <w:lang w:val="en-US" w:eastAsia="en-US"/>
    </w:rPr>
  </w:style>
  <w:style w:type="character" w:styleId="655">
    <w:name w:val="Верхний колонтитул Знак"/>
    <w:next w:val="655"/>
    <w:link w:val="654"/>
    <w:uiPriority w:val="99"/>
    <w:rPr>
      <w:rFonts w:ascii="Times New Roman" w:hAnsi="Times New Roman" w:eastAsia="Calibri" w:cs="Times New Roman"/>
      <w:sz w:val="24"/>
      <w:szCs w:val="24"/>
    </w:rPr>
  </w:style>
  <w:style w:type="character" w:styleId="656">
    <w:name w:val="Номер страницы"/>
    <w:basedOn w:val="649"/>
    <w:next w:val="656"/>
    <w:link w:val="647"/>
  </w:style>
  <w:style w:type="character" w:styleId="657">
    <w:name w:val="Гиперссылка"/>
    <w:next w:val="657"/>
    <w:link w:val="647"/>
    <w:uiPriority w:val="99"/>
    <w:unhideWhenUsed/>
    <w:rPr>
      <w:color w:val="0000ff"/>
      <w:u w:val="single"/>
    </w:rPr>
  </w:style>
  <w:style w:type="character" w:styleId="658">
    <w:name w:val="Выделение"/>
    <w:next w:val="658"/>
    <w:link w:val="647"/>
    <w:uiPriority w:val="20"/>
    <w:qFormat/>
    <w:rPr>
      <w:rFonts w:cs="Times New Roman"/>
      <w:i/>
      <w:iCs/>
    </w:rPr>
  </w:style>
  <w:style w:type="character" w:styleId="659">
    <w:name w:val="apple-converted-space"/>
    <w:basedOn w:val="649"/>
    <w:next w:val="659"/>
    <w:link w:val="647"/>
  </w:style>
  <w:style w:type="paragraph" w:styleId="660">
    <w:name w:val="Текст выноски"/>
    <w:basedOn w:val="647"/>
    <w:next w:val="660"/>
    <w:link w:val="66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61">
    <w:name w:val="Текст выноски Знак"/>
    <w:next w:val="661"/>
    <w:link w:val="660"/>
    <w:uiPriority w:val="99"/>
    <w:semiHidden/>
    <w:rPr>
      <w:rFonts w:ascii="Tahoma" w:hAnsi="Tahoma" w:cs="Tahoma"/>
      <w:sz w:val="16"/>
      <w:szCs w:val="16"/>
    </w:rPr>
  </w:style>
  <w:style w:type="paragraph" w:styleId="662">
    <w:name w:val="Обычный (веб)"/>
    <w:basedOn w:val="647"/>
    <w:next w:val="662"/>
    <w:link w:val="647"/>
    <w:uiPriority w:val="99"/>
    <w:unhideWhenUsed/>
    <w:pPr>
      <w:spacing w:after="96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63">
    <w:name w:val="Default"/>
    <w:next w:val="663"/>
    <w:link w:val="647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664">
    <w:name w:val="ConsPlusNormal"/>
    <w:next w:val="664"/>
    <w:link w:val="64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5">
    <w:name w:val="Заголовок 1 Знак"/>
    <w:next w:val="665"/>
    <w:link w:val="648"/>
    <w:rPr>
      <w:rFonts w:ascii="Times New Roman" w:hAnsi="Times New Roman"/>
      <w:b/>
      <w:bCs/>
      <w:sz w:val="48"/>
      <w:szCs w:val="48"/>
    </w:rPr>
  </w:style>
  <w:style w:type="paragraph" w:styleId="666">
    <w:name w:val="Текст сноски"/>
    <w:basedOn w:val="647"/>
    <w:next w:val="666"/>
    <w:link w:val="667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667">
    <w:name w:val="Текст сноски Знак"/>
    <w:next w:val="667"/>
    <w:link w:val="666"/>
    <w:uiPriority w:val="99"/>
    <w:rPr>
      <w:rFonts w:ascii="Times New Roman" w:hAnsi="Times New Roman"/>
    </w:rPr>
  </w:style>
  <w:style w:type="character" w:styleId="668">
    <w:name w:val="Знак сноски"/>
    <w:next w:val="668"/>
    <w:link w:val="647"/>
    <w:rPr>
      <w:vertAlign w:val="superscript"/>
    </w:rPr>
  </w:style>
  <w:style w:type="paragraph" w:styleId="669">
    <w:name w:val="p1"/>
    <w:basedOn w:val="647"/>
    <w:next w:val="669"/>
    <w:link w:val="647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70">
    <w:name w:val="Абзац списка"/>
    <w:basedOn w:val="647"/>
    <w:next w:val="670"/>
    <w:link w:val="647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671">
    <w:name w:val="Основной текст"/>
    <w:basedOn w:val="647"/>
    <w:next w:val="671"/>
    <w:link w:val="672"/>
    <w:pPr>
      <w:jc w:val="center"/>
      <w:spacing w:after="0" w:line="240" w:lineRule="auto"/>
    </w:pPr>
    <w:rPr>
      <w:rFonts w:ascii="Times New Roman" w:hAnsi="Times New Roman"/>
      <w:sz w:val="28"/>
      <w:szCs w:val="24"/>
      <w:lang w:val="en-US" w:eastAsia="en-US"/>
    </w:rPr>
  </w:style>
  <w:style w:type="character" w:styleId="672">
    <w:name w:val="Основной текст Знак"/>
    <w:next w:val="672"/>
    <w:link w:val="671"/>
    <w:rPr>
      <w:rFonts w:ascii="Times New Roman" w:hAnsi="Times New Roman"/>
      <w:sz w:val="28"/>
      <w:szCs w:val="24"/>
    </w:rPr>
  </w:style>
  <w:style w:type="character" w:styleId="673">
    <w:name w:val="Название Знак"/>
    <w:next w:val="673"/>
    <w:link w:val="674"/>
    <w:rPr>
      <w:b/>
      <w:bCs/>
      <w:sz w:val="28"/>
      <w:szCs w:val="24"/>
    </w:rPr>
  </w:style>
  <w:style w:type="paragraph" w:styleId="674">
    <w:name w:val="Название"/>
    <w:basedOn w:val="647"/>
    <w:next w:val="674"/>
    <w:link w:val="673"/>
    <w:qFormat/>
    <w:pPr>
      <w:jc w:val="center"/>
      <w:spacing w:after="0" w:line="240" w:lineRule="auto"/>
    </w:pPr>
    <w:rPr>
      <w:b/>
      <w:bCs/>
      <w:sz w:val="28"/>
      <w:szCs w:val="24"/>
      <w:lang w:val="en-US" w:eastAsia="en-US"/>
    </w:rPr>
  </w:style>
  <w:style w:type="character" w:styleId="675">
    <w:name w:val="Название Знак1"/>
    <w:next w:val="675"/>
    <w:link w:val="647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676">
    <w:name w:val="Без интервала"/>
    <w:next w:val="676"/>
    <w:link w:val="647"/>
    <w:uiPriority w:val="1"/>
    <w:qFormat/>
    <w:rPr>
      <w:rFonts w:eastAsia="Calibri"/>
      <w:sz w:val="22"/>
      <w:szCs w:val="22"/>
      <w:lang w:val="ru-RU" w:eastAsia="en-US" w:bidi="ar-SA"/>
    </w:rPr>
  </w:style>
  <w:style w:type="character" w:styleId="677">
    <w:name w:val="Строгий"/>
    <w:next w:val="677"/>
    <w:link w:val="647"/>
    <w:uiPriority w:val="22"/>
    <w:qFormat/>
    <w:rPr>
      <w:rFonts w:cs="Times New Roman"/>
      <w:b/>
      <w:bCs/>
    </w:rPr>
  </w:style>
  <w:style w:type="paragraph" w:styleId="678">
    <w:name w:val="western"/>
    <w:basedOn w:val="647"/>
    <w:next w:val="678"/>
    <w:link w:val="647"/>
    <w:uiPriority w:val="99"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679">
    <w:name w:val="blk"/>
    <w:basedOn w:val="649"/>
    <w:next w:val="679"/>
    <w:link w:val="647"/>
  </w:style>
  <w:style w:type="character" w:styleId="680">
    <w:name w:val="Основной текст_"/>
    <w:next w:val="680"/>
    <w:link w:val="681"/>
    <w:rPr>
      <w:rFonts w:ascii="Times New Roman" w:hAnsi="Times New Roman"/>
      <w:sz w:val="25"/>
      <w:szCs w:val="25"/>
      <w:shd w:val="clear" w:color="auto" w:fill="ffffff"/>
    </w:rPr>
  </w:style>
  <w:style w:type="paragraph" w:styleId="681">
    <w:name w:val="Основной текст6"/>
    <w:basedOn w:val="647"/>
    <w:next w:val="681"/>
    <w:link w:val="680"/>
    <w:pPr>
      <w:ind w:hanging="860"/>
      <w:spacing w:after="0" w:line="322" w:lineRule="exact"/>
      <w:shd w:val="clear" w:color="auto" w:fill="ffffff"/>
    </w:pPr>
    <w:rPr>
      <w:rFonts w:ascii="Times New Roman" w:hAnsi="Times New Roman"/>
      <w:sz w:val="25"/>
      <w:szCs w:val="25"/>
      <w:lang w:val="en-US" w:eastAsia="en-US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Диогенова</dc:creator>
  <cp:revision>3</cp:revision>
  <dcterms:created xsi:type="dcterms:W3CDTF">2021-03-17T05:26:00Z</dcterms:created>
  <dcterms:modified xsi:type="dcterms:W3CDTF">2025-05-15T07:01:41Z</dcterms:modified>
  <cp:version>786432</cp:version>
</cp:coreProperties>
</file>